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D07689" w14:textId="62AFC573" w:rsidR="00B2110D" w:rsidRDefault="00E11A67" w:rsidP="002B7909">
      <w:pPr>
        <w:pStyle w:val="Title"/>
      </w:pPr>
      <w:r>
        <w:t>Data Retention Policy</w:t>
      </w:r>
    </w:p>
    <w:p w14:paraId="0C36B6E1" w14:textId="1A3EE009" w:rsidR="00E11A67" w:rsidRDefault="002B7909" w:rsidP="005F0DA9">
      <w:pPr>
        <w:pStyle w:val="Heading1"/>
      </w:pPr>
      <w:r>
        <w:t>Who we are and what we do</w:t>
      </w:r>
    </w:p>
    <w:p w14:paraId="79258611" w14:textId="113E1EA3" w:rsidR="002B7909" w:rsidRDefault="00ED22B2" w:rsidP="00E11A67">
      <w:r w:rsidRPr="004459EF">
        <w:t>GreenWood Mentors Limited provides psychological therapy to the public, clinical supervision and clinical training to therapists, as well as workplace health. We use evidence</w:t>
      </w:r>
      <w:r w:rsidR="00FF4FC5">
        <w:t>-</w:t>
      </w:r>
      <w:r w:rsidRPr="004459EF">
        <w:t>based therapy (with good science behind it) including CBT (cognitive behavioural therapy), ACT (acceptance and commitment therapy), CFT (compassion focused therapy), DBT (dialectical behaviour therapy)</w:t>
      </w:r>
      <w:r w:rsidR="00FF4FC5">
        <w:t>, EMDR (eye-movement desensitisation and reprocessing)</w:t>
      </w:r>
      <w:r w:rsidRPr="004459EF">
        <w:t xml:space="preserve"> and </w:t>
      </w:r>
      <w:r w:rsidR="00FF4FC5">
        <w:t>MBC</w:t>
      </w:r>
      <w:r w:rsidRPr="004459EF">
        <w:t>T (</w:t>
      </w:r>
      <w:r w:rsidR="00FF4FC5">
        <w:t>mindfulness-based cognitive</w:t>
      </w:r>
      <w:r w:rsidRPr="004459EF">
        <w:t xml:space="preserve"> therapy) as well as providing supervision and training for clinicians using these approaches. We provide these approaches in individual and group formats in the workplace too.</w:t>
      </w:r>
    </w:p>
    <w:p w14:paraId="06A6985A" w14:textId="11FFABAB" w:rsidR="002B7909" w:rsidRDefault="0026467E" w:rsidP="005F0DA9">
      <w:pPr>
        <w:pStyle w:val="Heading1"/>
      </w:pPr>
      <w:r>
        <w:t>Why we need this policy</w:t>
      </w:r>
    </w:p>
    <w:p w14:paraId="186985DB" w14:textId="52ECD226" w:rsidR="0026467E" w:rsidRDefault="00BD0CDE" w:rsidP="00E11A67">
      <w:r>
        <w:t xml:space="preserve">Although we need to collect and hold certain personal data in order to deliver our services, we are committed to protecting and respecting the privacy of our clients. This includes not holding personal data any longer than we need to. </w:t>
      </w:r>
      <w:r w:rsidR="00BB6CF8">
        <w:t>Data Protection rules</w:t>
      </w:r>
      <w:r>
        <w:t xml:space="preserve"> also</w:t>
      </w:r>
      <w:r w:rsidR="00BB6CF8">
        <w:t xml:space="preserve"> state that we must not hold personal data any longer than is necessary for the purpose for which the data was collected and processed.</w:t>
      </w:r>
      <w:r w:rsidR="00032773">
        <w:t xml:space="preserve"> This policy explains how long we hold personal data for (</w:t>
      </w:r>
      <w:r w:rsidR="00F35C71">
        <w:t>the ‘</w:t>
      </w:r>
      <w:r w:rsidR="00032773">
        <w:t>retention</w:t>
      </w:r>
      <w:r w:rsidR="00F35C71">
        <w:t>’ period</w:t>
      </w:r>
      <w:r w:rsidR="00032773">
        <w:t>)</w:t>
      </w:r>
      <w:r w:rsidR="00F454EE">
        <w:t>, why we do so,</w:t>
      </w:r>
      <w:r w:rsidR="00032773">
        <w:t xml:space="preserve"> and </w:t>
      </w:r>
      <w:r w:rsidR="00F35C71">
        <w:t>what we do with it when it is no longer required.</w:t>
      </w:r>
    </w:p>
    <w:p w14:paraId="39CC7DF0" w14:textId="0F5D5CAB" w:rsidR="00F35C71" w:rsidRDefault="003455A4" w:rsidP="00E11A67">
      <w:r>
        <w:t>This document should be read in conjunction with our Data Protection and Privacy policy.</w:t>
      </w:r>
    </w:p>
    <w:p w14:paraId="0BB8CFC9" w14:textId="6E5206F2" w:rsidR="003455A4" w:rsidRPr="005F0DA9" w:rsidRDefault="003455A4" w:rsidP="005F0DA9">
      <w:pPr>
        <w:pStyle w:val="Heading1"/>
      </w:pPr>
      <w:r w:rsidRPr="005F0DA9">
        <w:t>Data retention</w:t>
      </w:r>
    </w:p>
    <w:p w14:paraId="7CBF566F" w14:textId="651156BF" w:rsidR="001A2277" w:rsidRDefault="004F1FA5" w:rsidP="00E11A67">
      <w:r>
        <w:t>The personal data we hold has been separated into categories</w:t>
      </w:r>
      <w:r w:rsidR="00DA4987">
        <w:t>.</w:t>
      </w:r>
      <w:r w:rsidR="00351C02">
        <w:t xml:space="preserve"> </w:t>
      </w:r>
      <w:r w:rsidR="00DA4987">
        <w:t>T</w:t>
      </w:r>
      <w:r w:rsidR="00351C02">
        <w:t>hese are described in detail in our Data Protection and Privacy Policy</w:t>
      </w:r>
      <w:r w:rsidR="00CD35FF">
        <w:t>,</w:t>
      </w:r>
      <w:r w:rsidR="005F0DA9">
        <w:t xml:space="preserve"> including what personal data may be held</w:t>
      </w:r>
      <w:r>
        <w:t xml:space="preserve">. </w:t>
      </w:r>
      <w:r w:rsidR="001A2277">
        <w:t xml:space="preserve">The table below shows </w:t>
      </w:r>
      <w:r w:rsidR="00206ED8">
        <w:t>the maximum period for which</w:t>
      </w:r>
      <w:r w:rsidR="001A2277">
        <w:t xml:space="preserve"> we will hold </w:t>
      </w:r>
      <w:r w:rsidR="004F10A2">
        <w:t>the data in each category.</w:t>
      </w:r>
    </w:p>
    <w:tbl>
      <w:tblPr>
        <w:tblStyle w:val="TableGrid"/>
        <w:tblW w:w="0" w:type="auto"/>
        <w:tblLook w:val="04A0" w:firstRow="1" w:lastRow="0" w:firstColumn="1" w:lastColumn="0" w:noHBand="0" w:noVBand="1"/>
      </w:tblPr>
      <w:tblGrid>
        <w:gridCol w:w="2547"/>
        <w:gridCol w:w="6469"/>
      </w:tblGrid>
      <w:tr w:rsidR="00A04D7E" w:rsidRPr="00A04D7E" w14:paraId="57C03B8D" w14:textId="77777777" w:rsidTr="00716159">
        <w:tc>
          <w:tcPr>
            <w:tcW w:w="2547" w:type="dxa"/>
            <w:shd w:val="clear" w:color="auto" w:fill="2E74B5" w:themeFill="accent5" w:themeFillShade="BF"/>
          </w:tcPr>
          <w:p w14:paraId="4428B01C" w14:textId="0F35385A" w:rsidR="0056040D" w:rsidRPr="00A04D7E" w:rsidRDefault="00EA1166" w:rsidP="00E11A67">
            <w:pPr>
              <w:rPr>
                <w:b/>
                <w:color w:val="FFFFFF" w:themeColor="background1"/>
              </w:rPr>
            </w:pPr>
            <w:r w:rsidRPr="00A04D7E">
              <w:rPr>
                <w:b/>
                <w:color w:val="FFFFFF" w:themeColor="background1"/>
              </w:rPr>
              <w:t>Category</w:t>
            </w:r>
          </w:p>
        </w:tc>
        <w:tc>
          <w:tcPr>
            <w:tcW w:w="6469" w:type="dxa"/>
            <w:shd w:val="clear" w:color="auto" w:fill="2E74B5" w:themeFill="accent5" w:themeFillShade="BF"/>
          </w:tcPr>
          <w:p w14:paraId="67F9084C" w14:textId="57F7BF29" w:rsidR="0056040D" w:rsidRPr="00A04D7E" w:rsidRDefault="00EA1166" w:rsidP="00E11A67">
            <w:pPr>
              <w:rPr>
                <w:b/>
                <w:color w:val="FFFFFF" w:themeColor="background1"/>
              </w:rPr>
            </w:pPr>
            <w:r w:rsidRPr="00A04D7E">
              <w:rPr>
                <w:b/>
                <w:color w:val="FFFFFF" w:themeColor="background1"/>
              </w:rPr>
              <w:t>Retention Period</w:t>
            </w:r>
          </w:p>
        </w:tc>
      </w:tr>
      <w:tr w:rsidR="0056040D" w14:paraId="38E93AAA" w14:textId="77777777" w:rsidTr="00716159">
        <w:tc>
          <w:tcPr>
            <w:tcW w:w="2547" w:type="dxa"/>
          </w:tcPr>
          <w:p w14:paraId="04B9784D" w14:textId="15F3C78C" w:rsidR="0056040D" w:rsidRDefault="0069207F" w:rsidP="00716159">
            <w:pPr>
              <w:jc w:val="left"/>
            </w:pPr>
            <w:r>
              <w:t>Mobile communications</w:t>
            </w:r>
          </w:p>
        </w:tc>
        <w:tc>
          <w:tcPr>
            <w:tcW w:w="6469" w:type="dxa"/>
          </w:tcPr>
          <w:p w14:paraId="5A48E0E9" w14:textId="71D05F72" w:rsidR="0056040D" w:rsidRDefault="0069207F" w:rsidP="00716159">
            <w:pPr>
              <w:jc w:val="left"/>
            </w:pPr>
            <w:r>
              <w:t xml:space="preserve">Deleted </w:t>
            </w:r>
            <w:r w:rsidR="00A1774F">
              <w:t>when it is</w:t>
            </w:r>
            <w:r>
              <w:t xml:space="preserve"> no longer required.</w:t>
            </w:r>
          </w:p>
        </w:tc>
      </w:tr>
      <w:tr w:rsidR="00AB08C9" w14:paraId="19A03415" w14:textId="77777777" w:rsidTr="00716159">
        <w:tc>
          <w:tcPr>
            <w:tcW w:w="2547" w:type="dxa"/>
          </w:tcPr>
          <w:p w14:paraId="3DF4ABDA" w14:textId="1E4326EA" w:rsidR="00AB08C9" w:rsidRDefault="00AB08C9" w:rsidP="00AB08C9">
            <w:pPr>
              <w:jc w:val="left"/>
            </w:pPr>
            <w:r>
              <w:t>Contact Information</w:t>
            </w:r>
          </w:p>
        </w:tc>
        <w:tc>
          <w:tcPr>
            <w:tcW w:w="6469" w:type="dxa"/>
          </w:tcPr>
          <w:p w14:paraId="6E71AA53" w14:textId="3F36563A" w:rsidR="00AB08C9" w:rsidRPr="00716159" w:rsidRDefault="00BC6C0D" w:rsidP="00AB08C9">
            <w:pPr>
              <w:jc w:val="left"/>
            </w:pPr>
            <w:r>
              <w:t>1</w:t>
            </w:r>
            <w:r w:rsidR="00AB08C9" w:rsidRPr="00716159">
              <w:t xml:space="preserve"> year from the </w:t>
            </w:r>
            <w:r>
              <w:t>2</w:t>
            </w:r>
            <w:r w:rsidR="00AB08C9" w:rsidRPr="00716159">
              <w:t xml:space="preserve">1st </w:t>
            </w:r>
            <w:r>
              <w:t>December</w:t>
            </w:r>
            <w:r w:rsidR="00AB08C9" w:rsidRPr="00716159">
              <w:t xml:space="preserve"> following the year in which the final session took place.</w:t>
            </w:r>
          </w:p>
        </w:tc>
      </w:tr>
      <w:tr w:rsidR="00BC6C0D" w14:paraId="478B21EC" w14:textId="77777777" w:rsidTr="00716159">
        <w:tc>
          <w:tcPr>
            <w:tcW w:w="2547" w:type="dxa"/>
          </w:tcPr>
          <w:p w14:paraId="5E07A9EF" w14:textId="0BD39670" w:rsidR="00BC6C0D" w:rsidRDefault="00BC6C0D" w:rsidP="00BC6C0D">
            <w:pPr>
              <w:jc w:val="left"/>
            </w:pPr>
            <w:r>
              <w:t>General administration</w:t>
            </w:r>
          </w:p>
        </w:tc>
        <w:tc>
          <w:tcPr>
            <w:tcW w:w="6469" w:type="dxa"/>
          </w:tcPr>
          <w:p w14:paraId="670F0DA3" w14:textId="6C92D13F" w:rsidR="00BC6C0D" w:rsidRPr="00716159" w:rsidRDefault="00BC6C0D" w:rsidP="00BC6C0D">
            <w:pPr>
              <w:jc w:val="left"/>
            </w:pPr>
            <w:r>
              <w:t>1</w:t>
            </w:r>
            <w:r w:rsidRPr="00716159">
              <w:t xml:space="preserve"> year from the </w:t>
            </w:r>
            <w:r>
              <w:t>2</w:t>
            </w:r>
            <w:r w:rsidRPr="00716159">
              <w:t xml:space="preserve">1st </w:t>
            </w:r>
            <w:r>
              <w:t>December</w:t>
            </w:r>
            <w:r w:rsidRPr="00716159">
              <w:t xml:space="preserve"> following the year in which the final session took place.</w:t>
            </w:r>
          </w:p>
        </w:tc>
      </w:tr>
      <w:tr w:rsidR="00BC6C0D" w14:paraId="41F84CCD" w14:textId="77777777" w:rsidTr="00456C3E">
        <w:tc>
          <w:tcPr>
            <w:tcW w:w="2547" w:type="dxa"/>
          </w:tcPr>
          <w:p w14:paraId="5273E000" w14:textId="77777777" w:rsidR="00BC6C0D" w:rsidRDefault="00BC6C0D" w:rsidP="00BC6C0D">
            <w:pPr>
              <w:jc w:val="left"/>
            </w:pPr>
            <w:r>
              <w:t>Financial records</w:t>
            </w:r>
          </w:p>
        </w:tc>
        <w:tc>
          <w:tcPr>
            <w:tcW w:w="6469" w:type="dxa"/>
          </w:tcPr>
          <w:p w14:paraId="42654441" w14:textId="7521A451" w:rsidR="00BC6C0D" w:rsidRDefault="00BC6C0D" w:rsidP="00BC6C0D">
            <w:pPr>
              <w:jc w:val="left"/>
            </w:pPr>
            <w:r>
              <w:t>6</w:t>
            </w:r>
            <w:r w:rsidRPr="00716159">
              <w:t xml:space="preserve"> year</w:t>
            </w:r>
            <w:r>
              <w:t>s</w:t>
            </w:r>
            <w:r w:rsidRPr="00716159">
              <w:t xml:space="preserve"> from the </w:t>
            </w:r>
            <w:r>
              <w:t>2</w:t>
            </w:r>
            <w:r w:rsidRPr="00716159">
              <w:t xml:space="preserve">1st </w:t>
            </w:r>
            <w:r>
              <w:t>December</w:t>
            </w:r>
            <w:r w:rsidRPr="00716159">
              <w:t xml:space="preserve"> following the year in which the </w:t>
            </w:r>
            <w:r>
              <w:t>record was created.</w:t>
            </w:r>
          </w:p>
        </w:tc>
      </w:tr>
      <w:tr w:rsidR="00AB08C9" w14:paraId="5EEE13AC" w14:textId="77777777" w:rsidTr="00716159">
        <w:tc>
          <w:tcPr>
            <w:tcW w:w="2547" w:type="dxa"/>
          </w:tcPr>
          <w:p w14:paraId="60A7E2CB" w14:textId="0849391A" w:rsidR="00AB08C9" w:rsidRDefault="00AB08C9" w:rsidP="00AB08C9">
            <w:pPr>
              <w:jc w:val="left"/>
            </w:pPr>
            <w:r>
              <w:t>Sensitive information</w:t>
            </w:r>
          </w:p>
        </w:tc>
        <w:tc>
          <w:tcPr>
            <w:tcW w:w="6469" w:type="dxa"/>
          </w:tcPr>
          <w:p w14:paraId="23B4820E" w14:textId="1408A2AD" w:rsidR="00AB08C9" w:rsidRDefault="00AB08C9" w:rsidP="00AB08C9">
            <w:pPr>
              <w:jc w:val="left"/>
            </w:pPr>
            <w:r>
              <w:t>6</w:t>
            </w:r>
            <w:r w:rsidRPr="00716159">
              <w:t xml:space="preserve"> years from the </w:t>
            </w:r>
            <w:r w:rsidR="00BC6C0D">
              <w:t>2</w:t>
            </w:r>
            <w:r w:rsidRPr="00716159">
              <w:t xml:space="preserve">1st </w:t>
            </w:r>
            <w:r w:rsidR="00BC6C0D">
              <w:t>December</w:t>
            </w:r>
            <w:r w:rsidRPr="00716159">
              <w:t xml:space="preserve"> following the year in which the final session took place.</w:t>
            </w:r>
          </w:p>
        </w:tc>
      </w:tr>
      <w:tr w:rsidR="00BC6C0D" w14:paraId="0B24505D" w14:textId="77777777" w:rsidTr="00456C3E">
        <w:tc>
          <w:tcPr>
            <w:tcW w:w="2547" w:type="dxa"/>
          </w:tcPr>
          <w:p w14:paraId="1B723072" w14:textId="77777777" w:rsidR="00BC6C0D" w:rsidRDefault="00BC6C0D" w:rsidP="00BC6C0D">
            <w:pPr>
              <w:jc w:val="left"/>
            </w:pPr>
            <w:r>
              <w:t>Notification data</w:t>
            </w:r>
          </w:p>
        </w:tc>
        <w:tc>
          <w:tcPr>
            <w:tcW w:w="6469" w:type="dxa"/>
          </w:tcPr>
          <w:p w14:paraId="06B93B4B" w14:textId="29632045" w:rsidR="00BC6C0D" w:rsidRPr="00716159" w:rsidRDefault="00BC6C0D" w:rsidP="00BC6C0D">
            <w:pPr>
              <w:jc w:val="left"/>
            </w:pPr>
            <w:r>
              <w:t>6</w:t>
            </w:r>
            <w:r w:rsidRPr="00716159">
              <w:t xml:space="preserve"> years from the </w:t>
            </w:r>
            <w:r>
              <w:t>2</w:t>
            </w:r>
            <w:r w:rsidRPr="00716159">
              <w:t xml:space="preserve">1st </w:t>
            </w:r>
            <w:r>
              <w:t>December</w:t>
            </w:r>
            <w:r w:rsidRPr="00716159">
              <w:t xml:space="preserve"> following the year in which the final session took place.</w:t>
            </w:r>
          </w:p>
        </w:tc>
      </w:tr>
    </w:tbl>
    <w:p w14:paraId="7AFE7BA0" w14:textId="3ADCE0D2" w:rsidR="002C6093" w:rsidRDefault="00F64D75" w:rsidP="00684AAA">
      <w:pPr>
        <w:spacing w:before="120"/>
      </w:pPr>
      <w:r>
        <w:t xml:space="preserve">The sections below </w:t>
      </w:r>
      <w:r w:rsidR="00684AAA">
        <w:t>explain</w:t>
      </w:r>
      <w:r>
        <w:t xml:space="preserve"> why we need to hold th</w:t>
      </w:r>
      <w:r w:rsidR="00684AAA">
        <w:t>e data in each category.</w:t>
      </w:r>
    </w:p>
    <w:p w14:paraId="74E747BA" w14:textId="77777777" w:rsidR="00C147BA" w:rsidRDefault="00C147BA">
      <w:pPr>
        <w:suppressAutoHyphens w:val="0"/>
        <w:spacing w:after="0"/>
        <w:jc w:val="left"/>
        <w:rPr>
          <w:rFonts w:ascii="Arial" w:hAnsi="Arial"/>
          <w:b/>
          <w:bCs/>
        </w:rPr>
      </w:pPr>
      <w:r>
        <w:br w:type="page"/>
      </w:r>
    </w:p>
    <w:p w14:paraId="02561680" w14:textId="07E4F067" w:rsidR="00594A8B" w:rsidRDefault="00A1774F" w:rsidP="000E74CC">
      <w:pPr>
        <w:pStyle w:val="Heading3"/>
      </w:pPr>
      <w:r>
        <w:lastRenderedPageBreak/>
        <w:t>Mobile communications</w:t>
      </w:r>
    </w:p>
    <w:p w14:paraId="3D5D075B" w14:textId="6D5A69F6" w:rsidR="00594A8B" w:rsidRDefault="009626B6" w:rsidP="00E11A67">
      <w:r>
        <w:t xml:space="preserve">Any </w:t>
      </w:r>
      <w:r w:rsidR="00A72AE1">
        <w:t>text messages, voicemails, or other mobile communications that</w:t>
      </w:r>
      <w:r>
        <w:t xml:space="preserve"> we hold on</w:t>
      </w:r>
      <w:r w:rsidR="00A72AE1">
        <w:t xml:space="preserve"> a</w:t>
      </w:r>
      <w:r>
        <w:t xml:space="preserve"> mobile device will be part of a conversation between us and a client. </w:t>
      </w:r>
      <w:r w:rsidR="00A47B21">
        <w:t>We hold the information to facilitate that conversation</w:t>
      </w:r>
      <w:r w:rsidR="00E46BA7">
        <w:t>. Once the conversation has completed there is no need</w:t>
      </w:r>
      <w:r w:rsidR="002E03AD">
        <w:t xml:space="preserve"> for us</w:t>
      </w:r>
      <w:r w:rsidR="00E46BA7">
        <w:t xml:space="preserve"> to </w:t>
      </w:r>
      <w:r w:rsidR="00127684">
        <w:t>hold the information on the mobile device.</w:t>
      </w:r>
    </w:p>
    <w:p w14:paraId="6D03B9A0" w14:textId="3E58561F" w:rsidR="00127684" w:rsidRDefault="00957DE1" w:rsidP="00751DC1">
      <w:r>
        <w:t>Sometimes we may</w:t>
      </w:r>
      <w:r w:rsidR="00184299">
        <w:t xml:space="preserve"> transcribe information from a mobile communication or make notes about </w:t>
      </w:r>
      <w:r w:rsidR="00751DC1">
        <w:t>the content.</w:t>
      </w:r>
      <w:r w:rsidR="00127684">
        <w:t xml:space="preserve"> </w:t>
      </w:r>
      <w:r w:rsidR="00E33920">
        <w:t>These would be</w:t>
      </w:r>
      <w:r w:rsidR="00CC1A56">
        <w:t xml:space="preserve"> store</w:t>
      </w:r>
      <w:r w:rsidR="00E33920">
        <w:t>d</w:t>
      </w:r>
      <w:r w:rsidR="00CC1A56">
        <w:t xml:space="preserve"> in an appropriate file </w:t>
      </w:r>
      <w:r w:rsidR="00FE4F00">
        <w:t>and</w:t>
      </w:r>
      <w:r w:rsidR="00CC1A56">
        <w:t xml:space="preserve"> would then fall under the retention period of the category within which the file </w:t>
      </w:r>
      <w:r w:rsidR="00C146C1">
        <w:t>is stored. This will</w:t>
      </w:r>
      <w:r w:rsidR="00751DC1">
        <w:t xml:space="preserve"> usually</w:t>
      </w:r>
      <w:r w:rsidR="00C146C1">
        <w:t xml:space="preserve"> be ‘</w:t>
      </w:r>
      <w:r w:rsidR="00BD33BF">
        <w:t>Special category personal data</w:t>
      </w:r>
      <w:r w:rsidR="00C146C1">
        <w:t xml:space="preserve">’ for </w:t>
      </w:r>
      <w:r w:rsidR="00BD33BF">
        <w:t>anything that is sensitive in nature, and ‘General administration’ for everything else.</w:t>
      </w:r>
    </w:p>
    <w:p w14:paraId="5A9BF062" w14:textId="46F37C3B" w:rsidR="007575AC" w:rsidRDefault="007575AC" w:rsidP="007575AC">
      <w:pPr>
        <w:pStyle w:val="Heading3"/>
      </w:pPr>
      <w:r>
        <w:t>Contact information</w:t>
      </w:r>
    </w:p>
    <w:p w14:paraId="74322E52" w14:textId="1CF71880" w:rsidR="009B10AB" w:rsidRDefault="007575AC" w:rsidP="00E11A67">
      <w:r>
        <w:t xml:space="preserve">We will not normally need to contact clients after </w:t>
      </w:r>
      <w:r w:rsidR="006F36A6">
        <w:t>work</w:t>
      </w:r>
      <w:r w:rsidR="008A697C">
        <w:t xml:space="preserve"> </w:t>
      </w:r>
      <w:proofErr w:type="gramStart"/>
      <w:r w:rsidR="008A697C">
        <w:t>has</w:t>
      </w:r>
      <w:proofErr w:type="gramEnd"/>
      <w:r w:rsidR="008A697C">
        <w:t xml:space="preserve"> </w:t>
      </w:r>
      <w:r w:rsidR="005C12CA">
        <w:t>finished</w:t>
      </w:r>
      <w:r w:rsidR="008A697C">
        <w:t xml:space="preserve">. However, sometimes queries </w:t>
      </w:r>
      <w:r w:rsidR="00E133A8">
        <w:t>do</w:t>
      </w:r>
      <w:r w:rsidR="008A697C">
        <w:t xml:space="preserve"> arise</w:t>
      </w:r>
      <w:r w:rsidR="00420EA5">
        <w:t>.</w:t>
      </w:r>
      <w:r w:rsidR="0081736A">
        <w:t xml:space="preserve"> To ensure that we can deal with these queries in a professional manner we hold </w:t>
      </w:r>
      <w:r w:rsidR="009B10AB">
        <w:t>client contact information for the same period as we hold data in the ‘General administration’ category.</w:t>
      </w:r>
    </w:p>
    <w:p w14:paraId="1DC18059" w14:textId="2520DFBD" w:rsidR="007575AC" w:rsidRDefault="009B10AB" w:rsidP="009B10AB">
      <w:pPr>
        <w:pStyle w:val="Heading3"/>
      </w:pPr>
      <w:r>
        <w:t>General administration</w:t>
      </w:r>
    </w:p>
    <w:p w14:paraId="79341F03" w14:textId="61AFB058" w:rsidR="009B10AB" w:rsidRDefault="00C85F0E" w:rsidP="00E11A67">
      <w:r>
        <w:t xml:space="preserve">Sometimes we have to deal with queries after </w:t>
      </w:r>
      <w:r w:rsidR="00D7351E">
        <w:t>work with the client has finished</w:t>
      </w:r>
      <w:r>
        <w:t xml:space="preserve">. These can be from third party organisations that were involved in the case or </w:t>
      </w:r>
      <w:r w:rsidR="00F507F0">
        <w:t xml:space="preserve">might relate to </w:t>
      </w:r>
      <w:r w:rsidR="00BC2F23">
        <w:t>our</w:t>
      </w:r>
      <w:r w:rsidR="00F507F0">
        <w:t xml:space="preserve"> annual accounts process. </w:t>
      </w:r>
      <w:r w:rsidR="00CF431B">
        <w:t>Retaining general administrative records allows us to deal with many of these queries without having to contact the client.</w:t>
      </w:r>
    </w:p>
    <w:p w14:paraId="21CC37F5" w14:textId="29963C2E" w:rsidR="003628F7" w:rsidRDefault="00560BCB" w:rsidP="00E11A67">
      <w:r>
        <w:t xml:space="preserve">Like all businesses we submit our accounts on an annual basis, and it can sometimes be a while after that before we receive a query. </w:t>
      </w:r>
      <w:r w:rsidR="00E678A9">
        <w:t>So</w:t>
      </w:r>
      <w:r w:rsidR="000D6B01">
        <w:t>,</w:t>
      </w:r>
      <w:r w:rsidR="00E678A9">
        <w:t xml:space="preserve"> we hold these records for </w:t>
      </w:r>
      <w:r w:rsidR="001E56E4">
        <w:t>long enough to en</w:t>
      </w:r>
      <w:r w:rsidR="00E678A9">
        <w:t xml:space="preserve">sure that we have enough time to </w:t>
      </w:r>
      <w:r w:rsidR="000D6B01">
        <w:t>review and respond to any query.</w:t>
      </w:r>
    </w:p>
    <w:p w14:paraId="52D0F15E" w14:textId="5F7CEC81" w:rsidR="000D6B01" w:rsidRDefault="000D6B01" w:rsidP="000D6B01">
      <w:pPr>
        <w:pStyle w:val="Heading3"/>
      </w:pPr>
      <w:r>
        <w:t>Financial records</w:t>
      </w:r>
    </w:p>
    <w:p w14:paraId="568A030E" w14:textId="0382CB48" w:rsidR="000D6B01" w:rsidRDefault="000D6B01" w:rsidP="00E11A67">
      <w:r>
        <w:t xml:space="preserve">Once we have submitted our annual </w:t>
      </w:r>
      <w:proofErr w:type="gramStart"/>
      <w:r>
        <w:t>accounts</w:t>
      </w:r>
      <w:proofErr w:type="gramEnd"/>
      <w:r>
        <w:t xml:space="preserve"> we are required by</w:t>
      </w:r>
      <w:r w:rsidR="009060F6">
        <w:t xml:space="preserve"> law to retain all supporting </w:t>
      </w:r>
      <w:r w:rsidR="002514A8">
        <w:t>financial records</w:t>
      </w:r>
      <w:r w:rsidR="009060F6">
        <w:t xml:space="preserve"> for </w:t>
      </w:r>
      <w:r w:rsidR="00F753AB">
        <w:t>a specific period</w:t>
      </w:r>
      <w:r w:rsidR="009060F6">
        <w:t>. This is in case of any tax query or investigation by Her Majesty’s Revenue and Customs (HMRC).</w:t>
      </w:r>
    </w:p>
    <w:p w14:paraId="048106E3" w14:textId="67000D15" w:rsidR="00142708" w:rsidRDefault="00A75850" w:rsidP="00C25636">
      <w:pPr>
        <w:pStyle w:val="Heading3"/>
        <w:numPr>
          <w:ilvl w:val="0"/>
          <w:numId w:val="0"/>
        </w:numPr>
      </w:pPr>
      <w:r>
        <w:t>Sensitive information</w:t>
      </w:r>
    </w:p>
    <w:p w14:paraId="78E8A603" w14:textId="69B81D0C" w:rsidR="00142708" w:rsidRDefault="009D4EE1" w:rsidP="00E11A67">
      <w:r>
        <w:t xml:space="preserve">After </w:t>
      </w:r>
      <w:r w:rsidR="00D7351E">
        <w:t xml:space="preserve">work with a client has </w:t>
      </w:r>
      <w:proofErr w:type="gramStart"/>
      <w:r w:rsidR="00D7351E">
        <w:t>finished</w:t>
      </w:r>
      <w:proofErr w:type="gramEnd"/>
      <w:r>
        <w:t xml:space="preserve"> we could be</w:t>
      </w:r>
      <w:r w:rsidR="001A0345">
        <w:t xml:space="preserve"> asked to provide information about </w:t>
      </w:r>
      <w:r>
        <w:t>the</w:t>
      </w:r>
      <w:r w:rsidR="001A0345">
        <w:t xml:space="preserve"> </w:t>
      </w:r>
      <w:r w:rsidR="001D0972">
        <w:t>case</w:t>
      </w:r>
      <w:r w:rsidR="001A0345">
        <w:t xml:space="preserve"> as part of a legal query.</w:t>
      </w:r>
      <w:r w:rsidR="00270650">
        <w:t xml:space="preserve"> </w:t>
      </w:r>
      <w:r w:rsidR="007438BB">
        <w:t xml:space="preserve">How we managed </w:t>
      </w:r>
      <w:r w:rsidR="000F3294">
        <w:t>the</w:t>
      </w:r>
      <w:r w:rsidR="007438BB">
        <w:t xml:space="preserve"> case might have a bearing on some of these queries, so we </w:t>
      </w:r>
      <w:r w:rsidR="00DE4CE0">
        <w:t xml:space="preserve">retain all </w:t>
      </w:r>
      <w:r w:rsidR="002514A8">
        <w:t>records</w:t>
      </w:r>
      <w:r w:rsidR="00DE4CE0">
        <w:t xml:space="preserve"> that might be relevant, including</w:t>
      </w:r>
      <w:r w:rsidR="002514A8">
        <w:t xml:space="preserve"> </w:t>
      </w:r>
      <w:r w:rsidR="00DE7266">
        <w:t>those</w:t>
      </w:r>
      <w:r w:rsidR="002514A8">
        <w:t xml:space="preserve"> that contain</w:t>
      </w:r>
      <w:r w:rsidR="00DE4CE0">
        <w:t xml:space="preserve"> special categories of personal data.</w:t>
      </w:r>
      <w:r w:rsidR="0028278E">
        <w:t xml:space="preserve"> The period for which we hold this information is based on </w:t>
      </w:r>
      <w:r w:rsidR="00B335FE">
        <w:t>recommended best practice for our business</w:t>
      </w:r>
      <w:r w:rsidR="00E653CE">
        <w:t xml:space="preserve"> sector</w:t>
      </w:r>
      <w:r w:rsidR="00B335FE">
        <w:t>.</w:t>
      </w:r>
    </w:p>
    <w:p w14:paraId="5E343E94" w14:textId="105581EA" w:rsidR="00906D1C" w:rsidRDefault="00906D1C" w:rsidP="00E11A67">
      <w:r>
        <w:t>We will only provide</w:t>
      </w:r>
      <w:r w:rsidR="00844870">
        <w:t xml:space="preserve"> this</w:t>
      </w:r>
      <w:r>
        <w:t xml:space="preserve"> information in response to a properly authorised request</w:t>
      </w:r>
      <w:r w:rsidR="00BF1228">
        <w:t xml:space="preserve"> from</w:t>
      </w:r>
      <w:r w:rsidR="00B435E4">
        <w:t xml:space="preserve"> the client or from</w:t>
      </w:r>
      <w:r w:rsidR="00BF1228">
        <w:t xml:space="preserve"> a legal organisation</w:t>
      </w:r>
      <w:r w:rsidR="00844870">
        <w:t xml:space="preserve"> </w:t>
      </w:r>
      <w:r w:rsidR="003C5910">
        <w:t>such as</w:t>
      </w:r>
      <w:r w:rsidR="00844870">
        <w:t xml:space="preserve"> a solicitor or court.</w:t>
      </w:r>
    </w:p>
    <w:p w14:paraId="57685CC5" w14:textId="63FDA44C" w:rsidR="00C25636" w:rsidRDefault="0035683A" w:rsidP="00E653CE">
      <w:pPr>
        <w:pStyle w:val="Heading3"/>
        <w:numPr>
          <w:ilvl w:val="0"/>
          <w:numId w:val="0"/>
        </w:numPr>
      </w:pPr>
      <w:r>
        <w:t>Notification data</w:t>
      </w:r>
    </w:p>
    <w:p w14:paraId="1494E070" w14:textId="2F3F47BB" w:rsidR="0035683A" w:rsidRDefault="0035683A" w:rsidP="00E11A67">
      <w:r>
        <w:t>We need to keep some information</w:t>
      </w:r>
      <w:r w:rsidR="006175B3">
        <w:t xml:space="preserve"> to allow us to inform clients </w:t>
      </w:r>
      <w:r>
        <w:t xml:space="preserve">in case there was ever a breach of </w:t>
      </w:r>
      <w:r w:rsidR="006175B3">
        <w:t xml:space="preserve">the personal data that we hold. </w:t>
      </w:r>
      <w:r w:rsidR="009C6F61">
        <w:t>We keep this information for as long as we hold any other personal data of the client.</w:t>
      </w:r>
    </w:p>
    <w:p w14:paraId="29AF8AB4" w14:textId="7A335ACD" w:rsidR="00C70D41" w:rsidRDefault="00764FA0" w:rsidP="00764FA0">
      <w:pPr>
        <w:pStyle w:val="Heading1"/>
      </w:pPr>
      <w:r>
        <w:t>Destroying</w:t>
      </w:r>
      <w:r w:rsidR="00C70D41">
        <w:t xml:space="preserve"> personal data</w:t>
      </w:r>
    </w:p>
    <w:p w14:paraId="61483C34" w14:textId="319D903D" w:rsidR="00C70D41" w:rsidRDefault="00A2450F" w:rsidP="00E11A67">
      <w:r>
        <w:t>W</w:t>
      </w:r>
      <w:r w:rsidR="002A5FE5">
        <w:t>e</w:t>
      </w:r>
      <w:r>
        <w:t xml:space="preserve"> destroy all records when we</w:t>
      </w:r>
      <w:r w:rsidR="002A5FE5">
        <w:t xml:space="preserve"> no longer need to </w:t>
      </w:r>
      <w:r>
        <w:t>keep them</w:t>
      </w:r>
      <w:r w:rsidR="002A5FE5">
        <w:t>, including ones that contain personal data</w:t>
      </w:r>
      <w:r>
        <w:t>.</w:t>
      </w:r>
    </w:p>
    <w:p w14:paraId="40DD4310" w14:textId="438BB29E" w:rsidR="00795A62" w:rsidRDefault="003C35FC" w:rsidP="00E11A67">
      <w:r>
        <w:lastRenderedPageBreak/>
        <w:t>Records</w:t>
      </w:r>
      <w:r w:rsidR="00795A62">
        <w:t xml:space="preserve"> stored electronically will be deleted from all relevant devices, storage and </w:t>
      </w:r>
      <w:r w:rsidR="00F56CD9">
        <w:t xml:space="preserve">applications. Where deleted items are retained (for example in a ‘recycle bin’) and not subsequently </w:t>
      </w:r>
      <w:r>
        <w:t>removed</w:t>
      </w:r>
      <w:r w:rsidR="00F56CD9">
        <w:t xml:space="preserve"> automatically </w:t>
      </w:r>
      <w:r>
        <w:t>after a set time the deleted items will be manually purged.</w:t>
      </w:r>
    </w:p>
    <w:p w14:paraId="615034AF" w14:textId="081F7EA7" w:rsidR="00725FD1" w:rsidRDefault="00725FD1" w:rsidP="00E11A67">
      <w:r>
        <w:t xml:space="preserve">Records stored as </w:t>
      </w:r>
      <w:r w:rsidR="00A72AE1">
        <w:t>hard copy are destroyed using a shredder.</w:t>
      </w:r>
    </w:p>
    <w:p w14:paraId="3B4A78F4" w14:textId="1F761016" w:rsidR="00DE7266" w:rsidRDefault="00DE7266" w:rsidP="00CE616B">
      <w:pPr>
        <w:pStyle w:val="Heading1"/>
      </w:pPr>
      <w:r>
        <w:t>How to contact us</w:t>
      </w:r>
    </w:p>
    <w:p w14:paraId="0F53EA72" w14:textId="33C66678" w:rsidR="00DE7266" w:rsidRDefault="00CE616B" w:rsidP="00E11A67">
      <w:r>
        <w:t>If you would like any further information, please get in touch:</w:t>
      </w:r>
    </w:p>
    <w:p w14:paraId="5D55E155" w14:textId="72FE21EF" w:rsidR="00CE616B" w:rsidRDefault="00CE616B" w:rsidP="00E11A67">
      <w:r>
        <w:t>By post, at:</w:t>
      </w:r>
    </w:p>
    <w:p w14:paraId="181BCECB" w14:textId="2329E4EC" w:rsidR="007F67E6" w:rsidRDefault="007F67E6" w:rsidP="007F67E6">
      <w:pPr>
        <w:spacing w:after="0"/>
        <w:ind w:left="720"/>
      </w:pPr>
      <w:r>
        <w:t>Green</w:t>
      </w:r>
      <w:r w:rsidR="00ED22B2">
        <w:t>W</w:t>
      </w:r>
      <w:r>
        <w:t>ood Mentors Ltd,</w:t>
      </w:r>
    </w:p>
    <w:p w14:paraId="7DD90DCB" w14:textId="77777777" w:rsidR="007F67E6" w:rsidRDefault="007F67E6" w:rsidP="007F67E6">
      <w:pPr>
        <w:spacing w:after="0"/>
        <w:ind w:left="720"/>
      </w:pPr>
      <w:r>
        <w:t>The Boulders,</w:t>
      </w:r>
    </w:p>
    <w:p w14:paraId="0AF332F7" w14:textId="77777777" w:rsidR="007F67E6" w:rsidRDefault="007F67E6" w:rsidP="007F67E6">
      <w:pPr>
        <w:spacing w:after="0"/>
        <w:ind w:left="720"/>
      </w:pPr>
      <w:proofErr w:type="spellStart"/>
      <w:r>
        <w:t>Quarr</w:t>
      </w:r>
      <w:proofErr w:type="spellEnd"/>
      <w:r>
        <w:t xml:space="preserve"> Road,</w:t>
      </w:r>
    </w:p>
    <w:p w14:paraId="2EF6D7EB" w14:textId="77777777" w:rsidR="007F67E6" w:rsidRDefault="007F67E6" w:rsidP="007F67E6">
      <w:pPr>
        <w:spacing w:after="0"/>
        <w:ind w:left="720"/>
      </w:pPr>
      <w:r>
        <w:t>Ryde,</w:t>
      </w:r>
    </w:p>
    <w:p w14:paraId="4EC60FF6" w14:textId="77777777" w:rsidR="007F67E6" w:rsidRDefault="007F67E6" w:rsidP="007F67E6">
      <w:pPr>
        <w:spacing w:after="0"/>
        <w:ind w:left="720"/>
      </w:pPr>
      <w:r>
        <w:t>Isle of Wight,</w:t>
      </w:r>
    </w:p>
    <w:p w14:paraId="1A68D3B9" w14:textId="1F5F360C" w:rsidR="00CE616B" w:rsidRDefault="007F67E6" w:rsidP="007F67E6">
      <w:pPr>
        <w:ind w:firstLine="720"/>
      </w:pPr>
      <w:r>
        <w:t>PO33 4EL.</w:t>
      </w:r>
    </w:p>
    <w:p w14:paraId="17CD3507" w14:textId="66D8FC35" w:rsidR="00485FAB" w:rsidRDefault="00485FAB" w:rsidP="00E11A67">
      <w:r>
        <w:t xml:space="preserve">Or by email, at: </w:t>
      </w:r>
      <w:hyperlink r:id="rId10" w:history="1">
        <w:r w:rsidR="00C00A5B" w:rsidRPr="005E54B1">
          <w:rPr>
            <w:rStyle w:val="Hyperlink"/>
          </w:rPr>
          <w:t>drkennedy@greenwoodmentors.com</w:t>
        </w:r>
      </w:hyperlink>
    </w:p>
    <w:p w14:paraId="00EA9D0E" w14:textId="77777777" w:rsidR="00C00A5B" w:rsidRDefault="00C00A5B" w:rsidP="00E11A67"/>
    <w:p w14:paraId="5C1EF9F9" w14:textId="77777777" w:rsidR="00C00A5B" w:rsidRPr="007819F0" w:rsidRDefault="00C00A5B" w:rsidP="00C00A5B">
      <w:pPr>
        <w:rPr>
          <w:rFonts w:asciiTheme="minorHAnsi" w:hAnsiTheme="minorHAnsi"/>
        </w:rPr>
      </w:pPr>
      <w:r w:rsidRPr="007819F0">
        <w:rPr>
          <w:rFonts w:asciiTheme="minorHAnsi" w:hAnsiTheme="minorHAnsi"/>
        </w:rPr>
        <w:t>Please sign below and return the document by post or by e mail.</w:t>
      </w:r>
    </w:p>
    <w:p w14:paraId="2B68B8FF" w14:textId="77777777" w:rsidR="00C00A5B" w:rsidRPr="007819F0" w:rsidRDefault="00C00A5B" w:rsidP="00C00A5B">
      <w:pPr>
        <w:rPr>
          <w:rFonts w:asciiTheme="minorHAnsi" w:hAnsiTheme="minorHAnsi"/>
        </w:rPr>
      </w:pPr>
    </w:p>
    <w:p w14:paraId="6B8DEBEC" w14:textId="1CB71DC2" w:rsidR="00C00A5B" w:rsidRPr="007819F0" w:rsidRDefault="00C00A5B" w:rsidP="00C00A5B">
      <w:pPr>
        <w:pStyle w:val="Body"/>
        <w:rPr>
          <w:rFonts w:asciiTheme="minorHAnsi" w:hAnsiTheme="minorHAnsi" w:cs="Arial"/>
        </w:rPr>
      </w:pPr>
      <w:r w:rsidRPr="007819F0">
        <w:rPr>
          <w:rFonts w:asciiTheme="minorHAnsi" w:hAnsiTheme="minorHAnsi" w:cs="Arial"/>
        </w:rPr>
        <w:t>I _________________________________________</w:t>
      </w:r>
      <w:proofErr w:type="gramStart"/>
      <w:r w:rsidRPr="007819F0">
        <w:rPr>
          <w:rFonts w:asciiTheme="minorHAnsi" w:hAnsiTheme="minorHAnsi" w:cs="Arial"/>
        </w:rPr>
        <w:t>_[</w:t>
      </w:r>
      <w:proofErr w:type="gramEnd"/>
      <w:r w:rsidRPr="007819F0">
        <w:rPr>
          <w:rFonts w:asciiTheme="minorHAnsi" w:hAnsiTheme="minorHAnsi" w:cs="Arial"/>
        </w:rPr>
        <w:t xml:space="preserve">block capitals] hereby agree to the terms and </w:t>
      </w:r>
      <w:r w:rsidRPr="007819F0">
        <w:rPr>
          <w:rFonts w:asciiTheme="minorHAnsi" w:hAnsiTheme="minorHAnsi" w:cs="Arial"/>
          <w:b/>
          <w:bCs/>
        </w:rPr>
        <w:t>give my informed consent</w:t>
      </w:r>
    </w:p>
    <w:p w14:paraId="3EA09C0B" w14:textId="77777777" w:rsidR="00C00A5B" w:rsidRPr="007819F0" w:rsidRDefault="00C00A5B" w:rsidP="00C00A5B">
      <w:pPr>
        <w:pStyle w:val="Body"/>
        <w:rPr>
          <w:rFonts w:asciiTheme="minorHAnsi" w:hAnsiTheme="minorHAnsi" w:cs="Arial"/>
        </w:rPr>
      </w:pPr>
    </w:p>
    <w:p w14:paraId="328F2DA2" w14:textId="3D38949F" w:rsidR="00C00A5B" w:rsidRPr="007819F0" w:rsidRDefault="00C00A5B" w:rsidP="00C00A5B">
      <w:pPr>
        <w:pStyle w:val="Body"/>
        <w:rPr>
          <w:rFonts w:asciiTheme="minorHAnsi" w:eastAsia="Times New Roman" w:hAnsiTheme="minorHAnsi" w:cs="Arial"/>
        </w:rPr>
      </w:pPr>
      <w:r w:rsidRPr="007819F0">
        <w:rPr>
          <w:rFonts w:asciiTheme="minorHAnsi" w:hAnsiTheme="minorHAnsi" w:cs="Arial"/>
        </w:rPr>
        <w:t>Signature____________________________________</w:t>
      </w:r>
      <w:proofErr w:type="gramStart"/>
      <w:r w:rsidRPr="007819F0">
        <w:rPr>
          <w:rFonts w:asciiTheme="minorHAnsi" w:hAnsiTheme="minorHAnsi" w:cs="Arial"/>
        </w:rPr>
        <w:t>Date:_</w:t>
      </w:r>
      <w:proofErr w:type="gramEnd"/>
      <w:r w:rsidRPr="007819F0">
        <w:rPr>
          <w:rFonts w:asciiTheme="minorHAnsi" w:hAnsiTheme="minorHAnsi" w:cs="Arial"/>
        </w:rPr>
        <w:t>______________________</w:t>
      </w:r>
      <w:r>
        <w:rPr>
          <w:rFonts w:asciiTheme="minorHAnsi" w:hAnsiTheme="minorHAnsi" w:cs="Arial"/>
        </w:rPr>
        <w:t>_</w:t>
      </w:r>
    </w:p>
    <w:p w14:paraId="39D67F50" w14:textId="77777777" w:rsidR="00C00A5B" w:rsidRPr="007819F0" w:rsidRDefault="00C00A5B" w:rsidP="00C00A5B">
      <w:pPr>
        <w:pStyle w:val="Body"/>
        <w:rPr>
          <w:rFonts w:asciiTheme="minorHAnsi" w:eastAsia="Times New Roman" w:hAnsiTheme="minorHAnsi" w:cs="Arial"/>
        </w:rPr>
      </w:pPr>
    </w:p>
    <w:p w14:paraId="74DEE345" w14:textId="77777777" w:rsidR="00C00A5B" w:rsidRPr="007819F0" w:rsidRDefault="00C00A5B" w:rsidP="00C00A5B">
      <w:pPr>
        <w:pStyle w:val="Body"/>
        <w:rPr>
          <w:rFonts w:asciiTheme="minorHAnsi" w:eastAsia="Times New Roman" w:hAnsiTheme="minorHAnsi" w:cs="Arial"/>
        </w:rPr>
      </w:pPr>
    </w:p>
    <w:p w14:paraId="25C1CBA6" w14:textId="77777777" w:rsidR="00C00A5B" w:rsidRPr="007819F0" w:rsidRDefault="00C00A5B" w:rsidP="00C00A5B">
      <w:pPr>
        <w:pStyle w:val="Body"/>
        <w:rPr>
          <w:rFonts w:asciiTheme="minorHAnsi" w:eastAsia="Times New Roman" w:hAnsiTheme="minorHAnsi" w:cs="Arial"/>
        </w:rPr>
      </w:pPr>
    </w:p>
    <w:p w14:paraId="16AE6344" w14:textId="77777777" w:rsidR="00C00A5B" w:rsidRPr="007819F0" w:rsidRDefault="00C00A5B" w:rsidP="00C00A5B">
      <w:pPr>
        <w:pStyle w:val="Body"/>
        <w:rPr>
          <w:rFonts w:asciiTheme="minorHAnsi" w:eastAsia="Times New Roman" w:hAnsiTheme="minorHAnsi" w:cs="Arial"/>
        </w:rPr>
      </w:pPr>
      <w:r w:rsidRPr="007819F0">
        <w:rPr>
          <w:rFonts w:asciiTheme="minorHAnsi" w:eastAsia="Times New Roman" w:hAnsiTheme="minorHAnsi" w:cs="Arial"/>
        </w:rPr>
        <w:t xml:space="preserve">You can </w:t>
      </w:r>
      <w:r w:rsidRPr="007819F0">
        <w:rPr>
          <w:rFonts w:asciiTheme="minorHAnsi" w:eastAsia="Times New Roman" w:hAnsiTheme="minorHAnsi" w:cs="Arial"/>
          <w:b/>
          <w:bCs/>
        </w:rPr>
        <w:t>withdraw your consent</w:t>
      </w:r>
      <w:r w:rsidRPr="007819F0">
        <w:rPr>
          <w:rFonts w:asciiTheme="minorHAnsi" w:eastAsia="Times New Roman" w:hAnsiTheme="minorHAnsi" w:cs="Arial"/>
        </w:rPr>
        <w:t xml:space="preserve"> at any time, by signing below and returning the document to the postal address above or by e mail.</w:t>
      </w:r>
    </w:p>
    <w:p w14:paraId="3B22F7E1" w14:textId="77777777" w:rsidR="00C00A5B" w:rsidRPr="007819F0" w:rsidRDefault="00C00A5B" w:rsidP="00C00A5B">
      <w:pPr>
        <w:pStyle w:val="Body"/>
        <w:rPr>
          <w:rFonts w:asciiTheme="minorHAnsi" w:eastAsia="Times New Roman" w:hAnsiTheme="minorHAnsi" w:cs="Arial"/>
        </w:rPr>
      </w:pPr>
    </w:p>
    <w:p w14:paraId="478C33DA" w14:textId="0FF52856" w:rsidR="00C00A5B" w:rsidRPr="007819F0" w:rsidRDefault="00C00A5B" w:rsidP="00C00A5B">
      <w:pPr>
        <w:pStyle w:val="Body"/>
        <w:rPr>
          <w:rFonts w:asciiTheme="minorHAnsi" w:hAnsiTheme="minorHAnsi" w:cs="Arial"/>
        </w:rPr>
      </w:pPr>
      <w:r w:rsidRPr="007819F0">
        <w:rPr>
          <w:rFonts w:asciiTheme="minorHAnsi" w:hAnsiTheme="minorHAnsi" w:cs="Arial"/>
        </w:rPr>
        <w:t>I __________________________________________[block capitals] hereby withdraw my consent</w:t>
      </w:r>
    </w:p>
    <w:p w14:paraId="68AE061D" w14:textId="77777777" w:rsidR="00C00A5B" w:rsidRPr="007819F0" w:rsidRDefault="00C00A5B" w:rsidP="00C00A5B">
      <w:pPr>
        <w:pStyle w:val="Body"/>
        <w:rPr>
          <w:rFonts w:asciiTheme="minorHAnsi" w:hAnsiTheme="minorHAnsi" w:cs="Arial"/>
        </w:rPr>
      </w:pPr>
    </w:p>
    <w:p w14:paraId="772D7128" w14:textId="6EBBFF28" w:rsidR="00C00A5B" w:rsidRPr="007819F0" w:rsidRDefault="00C00A5B" w:rsidP="00C00A5B">
      <w:pPr>
        <w:pStyle w:val="Body"/>
        <w:rPr>
          <w:rFonts w:asciiTheme="minorHAnsi" w:eastAsia="Times New Roman" w:hAnsiTheme="minorHAnsi" w:cs="Arial"/>
        </w:rPr>
      </w:pPr>
      <w:r w:rsidRPr="007819F0">
        <w:rPr>
          <w:rFonts w:asciiTheme="minorHAnsi" w:hAnsiTheme="minorHAnsi" w:cs="Arial"/>
        </w:rPr>
        <w:t>Signature____________________________________</w:t>
      </w:r>
      <w:proofErr w:type="gramStart"/>
      <w:r w:rsidRPr="007819F0">
        <w:rPr>
          <w:rFonts w:asciiTheme="minorHAnsi" w:hAnsiTheme="minorHAnsi" w:cs="Arial"/>
        </w:rPr>
        <w:t>Date:_</w:t>
      </w:r>
      <w:proofErr w:type="gramEnd"/>
      <w:r w:rsidRPr="007819F0">
        <w:rPr>
          <w:rFonts w:asciiTheme="minorHAnsi" w:hAnsiTheme="minorHAnsi" w:cs="Arial"/>
        </w:rPr>
        <w:t>______________________</w:t>
      </w:r>
      <w:r>
        <w:rPr>
          <w:rFonts w:asciiTheme="minorHAnsi" w:hAnsiTheme="minorHAnsi" w:cs="Arial"/>
        </w:rPr>
        <w:t>_</w:t>
      </w:r>
    </w:p>
    <w:p w14:paraId="4605807C" w14:textId="77777777" w:rsidR="00C00A5B" w:rsidRPr="00E11A67" w:rsidRDefault="00C00A5B" w:rsidP="00E11A67"/>
    <w:sectPr w:rsidR="00C00A5B" w:rsidRPr="00E11A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4BB7" w14:textId="77777777" w:rsidR="00C341C5" w:rsidRDefault="00C341C5" w:rsidP="00C40D27">
      <w:r>
        <w:separator/>
      </w:r>
    </w:p>
  </w:endnote>
  <w:endnote w:type="continuationSeparator" w:id="0">
    <w:p w14:paraId="4C1327F3" w14:textId="77777777" w:rsidR="00C341C5" w:rsidRDefault="00C341C5" w:rsidP="00C40D27">
      <w:r>
        <w:continuationSeparator/>
      </w:r>
    </w:p>
  </w:endnote>
  <w:endnote w:type="continuationNotice" w:id="1">
    <w:p w14:paraId="4633C8EE" w14:textId="77777777" w:rsidR="00C341C5" w:rsidRDefault="00C341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7EF2" w14:textId="77777777" w:rsidR="00915C3C" w:rsidRDefault="00915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7BA0" w14:textId="39058B02" w:rsidR="00AF6751" w:rsidRPr="007E4C88" w:rsidRDefault="003951F2" w:rsidP="00C40D27">
    <w:pPr>
      <w:pStyle w:val="Footer"/>
    </w:pPr>
    <w:r w:rsidRPr="007E4C88">
      <w:t>Data Retention Policy</w:t>
    </w:r>
  </w:p>
  <w:p w14:paraId="24B2A75E" w14:textId="2445435A" w:rsidR="007E4C88" w:rsidRPr="007E4C88" w:rsidRDefault="007F67E6" w:rsidP="00C40D27">
    <w:pPr>
      <w:pStyle w:val="Footer"/>
    </w:pPr>
    <w:r>
      <w:t>Greenwood Mentors Ltd</w:t>
    </w:r>
    <w:r w:rsidR="000A3262">
      <w:t xml:space="preserve"> – </w:t>
    </w:r>
    <w:r w:rsidR="007E4C88">
      <w:t>20</w:t>
    </w:r>
    <w:r w:rsidR="00C00A5B">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38ED" w14:textId="77777777" w:rsidR="00915C3C" w:rsidRDefault="00915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89BA" w14:textId="77777777" w:rsidR="00C341C5" w:rsidRDefault="00C341C5" w:rsidP="00C40D27">
      <w:r>
        <w:separator/>
      </w:r>
    </w:p>
  </w:footnote>
  <w:footnote w:type="continuationSeparator" w:id="0">
    <w:p w14:paraId="524769A8" w14:textId="77777777" w:rsidR="00C341C5" w:rsidRDefault="00C341C5" w:rsidP="00C40D27">
      <w:r>
        <w:continuationSeparator/>
      </w:r>
    </w:p>
  </w:footnote>
  <w:footnote w:type="continuationNotice" w:id="1">
    <w:p w14:paraId="464ADDC1" w14:textId="77777777" w:rsidR="00C341C5" w:rsidRDefault="00C341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A673" w14:textId="77777777" w:rsidR="00D70EB8" w:rsidRDefault="00D70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47C0" w14:textId="77777777" w:rsidR="00AF6751" w:rsidRDefault="00AF6751" w:rsidP="00C40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7457" w14:textId="77777777" w:rsidR="00D70EB8" w:rsidRDefault="00D70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2F8EF7E"/>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0C6584"/>
    <w:multiLevelType w:val="hybridMultilevel"/>
    <w:tmpl w:val="8CD2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626624">
    <w:abstractNumId w:val="0"/>
  </w:num>
  <w:num w:numId="2" w16cid:durableId="831726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77"/>
    <w:rsid w:val="00007819"/>
    <w:rsid w:val="00011F2F"/>
    <w:rsid w:val="00032773"/>
    <w:rsid w:val="00043E9E"/>
    <w:rsid w:val="00054BD8"/>
    <w:rsid w:val="000A0664"/>
    <w:rsid w:val="000A3262"/>
    <w:rsid w:val="000C5028"/>
    <w:rsid w:val="000D271A"/>
    <w:rsid w:val="000D6B01"/>
    <w:rsid w:val="000E346F"/>
    <w:rsid w:val="000E74CC"/>
    <w:rsid w:val="000F3294"/>
    <w:rsid w:val="000F46F1"/>
    <w:rsid w:val="00106DB7"/>
    <w:rsid w:val="00127684"/>
    <w:rsid w:val="00142708"/>
    <w:rsid w:val="00184299"/>
    <w:rsid w:val="001A0345"/>
    <w:rsid w:val="001A2277"/>
    <w:rsid w:val="001B03E5"/>
    <w:rsid w:val="001B77C1"/>
    <w:rsid w:val="001D0972"/>
    <w:rsid w:val="001D563E"/>
    <w:rsid w:val="001E0727"/>
    <w:rsid w:val="001E56E4"/>
    <w:rsid w:val="00206ED8"/>
    <w:rsid w:val="00222D08"/>
    <w:rsid w:val="00236AF1"/>
    <w:rsid w:val="002514A8"/>
    <w:rsid w:val="0026467E"/>
    <w:rsid w:val="00270650"/>
    <w:rsid w:val="0028278E"/>
    <w:rsid w:val="00287F86"/>
    <w:rsid w:val="002A1AC3"/>
    <w:rsid w:val="002A5FE5"/>
    <w:rsid w:val="002B7909"/>
    <w:rsid w:val="002C6093"/>
    <w:rsid w:val="002D6622"/>
    <w:rsid w:val="002E03AD"/>
    <w:rsid w:val="003455A4"/>
    <w:rsid w:val="00351C02"/>
    <w:rsid w:val="0035683A"/>
    <w:rsid w:val="003628F7"/>
    <w:rsid w:val="003702EF"/>
    <w:rsid w:val="00377DB8"/>
    <w:rsid w:val="00383B44"/>
    <w:rsid w:val="00393D5D"/>
    <w:rsid w:val="003951F2"/>
    <w:rsid w:val="003B0A9A"/>
    <w:rsid w:val="003C35FC"/>
    <w:rsid w:val="003C5910"/>
    <w:rsid w:val="00403A4F"/>
    <w:rsid w:val="00420EA5"/>
    <w:rsid w:val="00434002"/>
    <w:rsid w:val="004474F9"/>
    <w:rsid w:val="00483EDD"/>
    <w:rsid w:val="00485FAB"/>
    <w:rsid w:val="00493774"/>
    <w:rsid w:val="004B7237"/>
    <w:rsid w:val="004C48BB"/>
    <w:rsid w:val="004C5FE4"/>
    <w:rsid w:val="004D2610"/>
    <w:rsid w:val="004F10A2"/>
    <w:rsid w:val="004F1FA5"/>
    <w:rsid w:val="004F3B86"/>
    <w:rsid w:val="00530A37"/>
    <w:rsid w:val="00533273"/>
    <w:rsid w:val="0056040D"/>
    <w:rsid w:val="00560BCB"/>
    <w:rsid w:val="005675C4"/>
    <w:rsid w:val="00594A8B"/>
    <w:rsid w:val="005C12CA"/>
    <w:rsid w:val="005E1ADD"/>
    <w:rsid w:val="005F0DA9"/>
    <w:rsid w:val="005F1A93"/>
    <w:rsid w:val="00607D5A"/>
    <w:rsid w:val="00610284"/>
    <w:rsid w:val="006175B3"/>
    <w:rsid w:val="00631AAE"/>
    <w:rsid w:val="006350BC"/>
    <w:rsid w:val="00647A80"/>
    <w:rsid w:val="00674EB7"/>
    <w:rsid w:val="00684AAA"/>
    <w:rsid w:val="006917F6"/>
    <w:rsid w:val="0069207F"/>
    <w:rsid w:val="006B56E9"/>
    <w:rsid w:val="006C2E6D"/>
    <w:rsid w:val="006D0B36"/>
    <w:rsid w:val="006E2FDC"/>
    <w:rsid w:val="006F34CD"/>
    <w:rsid w:val="006F36A6"/>
    <w:rsid w:val="006F56C0"/>
    <w:rsid w:val="007034EB"/>
    <w:rsid w:val="00716159"/>
    <w:rsid w:val="00725FD1"/>
    <w:rsid w:val="007438BB"/>
    <w:rsid w:val="00751DC1"/>
    <w:rsid w:val="007575AC"/>
    <w:rsid w:val="00764FA0"/>
    <w:rsid w:val="00775107"/>
    <w:rsid w:val="007903FF"/>
    <w:rsid w:val="00792038"/>
    <w:rsid w:val="00795A62"/>
    <w:rsid w:val="007B3A70"/>
    <w:rsid w:val="007B7CDB"/>
    <w:rsid w:val="007E1F06"/>
    <w:rsid w:val="007E4C88"/>
    <w:rsid w:val="007F67E6"/>
    <w:rsid w:val="008075DE"/>
    <w:rsid w:val="0081736A"/>
    <w:rsid w:val="0081775C"/>
    <w:rsid w:val="008261DD"/>
    <w:rsid w:val="00844870"/>
    <w:rsid w:val="00864D9D"/>
    <w:rsid w:val="00874CCB"/>
    <w:rsid w:val="008802B2"/>
    <w:rsid w:val="00880473"/>
    <w:rsid w:val="008A697C"/>
    <w:rsid w:val="008D09A9"/>
    <w:rsid w:val="008E7F3B"/>
    <w:rsid w:val="008F4B03"/>
    <w:rsid w:val="00902E4A"/>
    <w:rsid w:val="009039B3"/>
    <w:rsid w:val="009060F6"/>
    <w:rsid w:val="00906D1C"/>
    <w:rsid w:val="00915C3C"/>
    <w:rsid w:val="009207E8"/>
    <w:rsid w:val="00927B0A"/>
    <w:rsid w:val="009456FA"/>
    <w:rsid w:val="00957DE1"/>
    <w:rsid w:val="009626B6"/>
    <w:rsid w:val="009923B6"/>
    <w:rsid w:val="009A6557"/>
    <w:rsid w:val="009B10AB"/>
    <w:rsid w:val="009B1489"/>
    <w:rsid w:val="009C6BBA"/>
    <w:rsid w:val="009C6F61"/>
    <w:rsid w:val="009D4EE1"/>
    <w:rsid w:val="009F59E8"/>
    <w:rsid w:val="00A00C78"/>
    <w:rsid w:val="00A03F2B"/>
    <w:rsid w:val="00A04D7E"/>
    <w:rsid w:val="00A0615F"/>
    <w:rsid w:val="00A1774F"/>
    <w:rsid w:val="00A2450F"/>
    <w:rsid w:val="00A274D3"/>
    <w:rsid w:val="00A31395"/>
    <w:rsid w:val="00A47B21"/>
    <w:rsid w:val="00A66E0B"/>
    <w:rsid w:val="00A72AE1"/>
    <w:rsid w:val="00A75850"/>
    <w:rsid w:val="00A80F35"/>
    <w:rsid w:val="00AB08C9"/>
    <w:rsid w:val="00AC4F18"/>
    <w:rsid w:val="00AE5A51"/>
    <w:rsid w:val="00AF6751"/>
    <w:rsid w:val="00B2110D"/>
    <w:rsid w:val="00B23C32"/>
    <w:rsid w:val="00B25DC9"/>
    <w:rsid w:val="00B335FE"/>
    <w:rsid w:val="00B34FD1"/>
    <w:rsid w:val="00B3509D"/>
    <w:rsid w:val="00B435E4"/>
    <w:rsid w:val="00B55186"/>
    <w:rsid w:val="00B628FF"/>
    <w:rsid w:val="00B87E72"/>
    <w:rsid w:val="00B93C4B"/>
    <w:rsid w:val="00BA150A"/>
    <w:rsid w:val="00BA1D36"/>
    <w:rsid w:val="00BB13A9"/>
    <w:rsid w:val="00BB6CF8"/>
    <w:rsid w:val="00BC1577"/>
    <w:rsid w:val="00BC2F23"/>
    <w:rsid w:val="00BC6C0D"/>
    <w:rsid w:val="00BD0CDE"/>
    <w:rsid w:val="00BD33BF"/>
    <w:rsid w:val="00BF0036"/>
    <w:rsid w:val="00BF1228"/>
    <w:rsid w:val="00C00A5B"/>
    <w:rsid w:val="00C146C1"/>
    <w:rsid w:val="00C147BA"/>
    <w:rsid w:val="00C16940"/>
    <w:rsid w:val="00C16FE7"/>
    <w:rsid w:val="00C173C9"/>
    <w:rsid w:val="00C25636"/>
    <w:rsid w:val="00C341C5"/>
    <w:rsid w:val="00C36EF5"/>
    <w:rsid w:val="00C40D27"/>
    <w:rsid w:val="00C70D41"/>
    <w:rsid w:val="00C76956"/>
    <w:rsid w:val="00C85E97"/>
    <w:rsid w:val="00C85F0E"/>
    <w:rsid w:val="00C860F7"/>
    <w:rsid w:val="00C9222B"/>
    <w:rsid w:val="00C9689C"/>
    <w:rsid w:val="00CA0F7C"/>
    <w:rsid w:val="00CC1A56"/>
    <w:rsid w:val="00CC66B9"/>
    <w:rsid w:val="00CD35FF"/>
    <w:rsid w:val="00CE616B"/>
    <w:rsid w:val="00CF431B"/>
    <w:rsid w:val="00D40F8F"/>
    <w:rsid w:val="00D47055"/>
    <w:rsid w:val="00D64021"/>
    <w:rsid w:val="00D70EB8"/>
    <w:rsid w:val="00D7351E"/>
    <w:rsid w:val="00D87AC8"/>
    <w:rsid w:val="00D971DA"/>
    <w:rsid w:val="00DA4987"/>
    <w:rsid w:val="00DD6E75"/>
    <w:rsid w:val="00DE4CE0"/>
    <w:rsid w:val="00DE5198"/>
    <w:rsid w:val="00DE7266"/>
    <w:rsid w:val="00DF55D6"/>
    <w:rsid w:val="00E11A67"/>
    <w:rsid w:val="00E1284D"/>
    <w:rsid w:val="00E133A8"/>
    <w:rsid w:val="00E307C0"/>
    <w:rsid w:val="00E325F2"/>
    <w:rsid w:val="00E33920"/>
    <w:rsid w:val="00E46BA7"/>
    <w:rsid w:val="00E61190"/>
    <w:rsid w:val="00E653CE"/>
    <w:rsid w:val="00E678A9"/>
    <w:rsid w:val="00E911B6"/>
    <w:rsid w:val="00EA1166"/>
    <w:rsid w:val="00EB5086"/>
    <w:rsid w:val="00ED22B2"/>
    <w:rsid w:val="00ED2A7C"/>
    <w:rsid w:val="00ED66EE"/>
    <w:rsid w:val="00ED6D9E"/>
    <w:rsid w:val="00ED7192"/>
    <w:rsid w:val="00F01062"/>
    <w:rsid w:val="00F03AB5"/>
    <w:rsid w:val="00F35C71"/>
    <w:rsid w:val="00F454EE"/>
    <w:rsid w:val="00F507F0"/>
    <w:rsid w:val="00F52705"/>
    <w:rsid w:val="00F52BF8"/>
    <w:rsid w:val="00F56CD9"/>
    <w:rsid w:val="00F61D63"/>
    <w:rsid w:val="00F64D75"/>
    <w:rsid w:val="00F753AB"/>
    <w:rsid w:val="00FD301B"/>
    <w:rsid w:val="00FE4F00"/>
    <w:rsid w:val="00FE661C"/>
    <w:rsid w:val="00FF4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736F013"/>
  <w15:docId w15:val="{C829A122-3B45-F340-B030-79878988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95"/>
    <w:pPr>
      <w:suppressAutoHyphens/>
      <w:spacing w:after="120"/>
      <w:jc w:val="both"/>
    </w:pPr>
    <w:rPr>
      <w:rFonts w:ascii="Cambria" w:hAnsi="Cambria" w:cs="Arial"/>
      <w:sz w:val="24"/>
      <w:szCs w:val="22"/>
      <w:lang w:eastAsia="ar-SA"/>
    </w:rPr>
  </w:style>
  <w:style w:type="paragraph" w:styleId="Heading1">
    <w:name w:val="heading 1"/>
    <w:basedOn w:val="Normal"/>
    <w:next w:val="Normal"/>
    <w:link w:val="Heading1Char"/>
    <w:uiPriority w:val="9"/>
    <w:qFormat/>
    <w:rsid w:val="00C9689C"/>
    <w:pPr>
      <w:keepNext/>
      <w:keepLines/>
      <w:spacing w:before="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pPr>
      <w:keepNext/>
      <w:numPr>
        <w:ilvl w:val="1"/>
        <w:numId w:val="1"/>
      </w:numPr>
      <w:outlineLvl w:val="1"/>
    </w:pPr>
    <w:rPr>
      <w:b/>
      <w:bCs/>
      <w:u w:val="single"/>
    </w:rPr>
  </w:style>
  <w:style w:type="paragraph" w:styleId="Heading3">
    <w:name w:val="heading 3"/>
    <w:basedOn w:val="Normal"/>
    <w:next w:val="Normal"/>
    <w:qFormat/>
    <w:rsid w:val="00C85E97"/>
    <w:pPr>
      <w:keepNext/>
      <w:numPr>
        <w:ilvl w:val="2"/>
        <w:numId w:val="1"/>
      </w:numPr>
      <w:jc w:val="left"/>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DefaultParagraphFont1">
    <w:name w:val="WW-Default Paragraph Font1"/>
  </w:style>
  <w:style w:type="character" w:styleId="Hyperlink">
    <w:name w:val="Hyperlink"/>
    <w:rPr>
      <w:color w:val="0000FF"/>
      <w:u w:val="single"/>
    </w:rPr>
  </w:style>
  <w:style w:type="character" w:customStyle="1" w:styleId="BodyTextChar">
    <w:name w:val="Body Text Char"/>
    <w:rPr>
      <w:rFonts w:ascii="Arial" w:hAnsi="Arial" w:cs="Arial"/>
      <w:sz w:val="22"/>
      <w:szCs w:val="24"/>
      <w:lang w:val="en-GB" w:eastAsia="ar-SA" w:bidi="ar-SA"/>
    </w:rPr>
  </w:style>
  <w:style w:type="paragraph" w:customStyle="1" w:styleId="Heading">
    <w:name w:val="Heading"/>
    <w:basedOn w:val="Normal"/>
    <w:next w:val="BodyText"/>
    <w:pPr>
      <w:keepNext/>
      <w:spacing w:before="240"/>
    </w:pPr>
    <w:rPr>
      <w:rFonts w:eastAsia="MS Mincho" w:cs="Tahoma"/>
      <w:sz w:val="28"/>
      <w:szCs w:val="28"/>
    </w:rPr>
  </w:style>
  <w:style w:type="paragraph" w:styleId="BodyText">
    <w:name w:val="Body Text"/>
    <w:basedOn w:val="Normal"/>
  </w:style>
  <w:style w:type="paragraph" w:styleId="List">
    <w:name w:val="List"/>
    <w:basedOn w:val="BodyText"/>
    <w:rPr>
      <w:rFonts w:cs="Tahoma"/>
    </w:rPr>
  </w:style>
  <w:style w:type="paragraph" w:styleId="Caption">
    <w:name w:val="caption"/>
    <w:basedOn w:val="Normal"/>
    <w:qFormat/>
    <w:pPr>
      <w:suppressLineNumbers/>
      <w:spacing w:before="120"/>
    </w:pPr>
    <w:rPr>
      <w:rFonts w:cs="Tahoma"/>
      <w:i/>
      <w:iCs/>
    </w:rPr>
  </w:style>
  <w:style w:type="paragraph" w:customStyle="1" w:styleId="Index">
    <w:name w:val="Index"/>
    <w:basedOn w:val="Normal"/>
    <w:pPr>
      <w:suppressLineNumbers/>
    </w:pPr>
    <w:rPr>
      <w:rFonts w:cs="Tahoma"/>
    </w:rPr>
  </w:style>
  <w:style w:type="paragraph" w:styleId="Header">
    <w:name w:val="header"/>
    <w:rsid w:val="00C40D27"/>
    <w:pPr>
      <w:tabs>
        <w:tab w:val="center" w:pos="4153"/>
        <w:tab w:val="right" w:pos="8306"/>
      </w:tabs>
    </w:pPr>
    <w:rPr>
      <w:rFonts w:ascii="Arial" w:hAnsi="Arial" w:cs="Arial"/>
      <w:color w:val="808080" w:themeColor="background1" w:themeShade="80"/>
      <w:sz w:val="24"/>
      <w:szCs w:val="22"/>
      <w:lang w:eastAsia="ar-SA"/>
    </w:rPr>
  </w:style>
  <w:style w:type="paragraph" w:styleId="Footer">
    <w:name w:val="footer"/>
    <w:rsid w:val="00C40D27"/>
    <w:pPr>
      <w:tabs>
        <w:tab w:val="center" w:pos="4153"/>
        <w:tab w:val="right" w:pos="8306"/>
      </w:tabs>
      <w:jc w:val="center"/>
    </w:pPr>
    <w:rPr>
      <w:rFonts w:ascii="Cambria" w:hAnsi="Cambria" w:cs="Arial"/>
      <w:i/>
      <w:color w:val="808080" w:themeColor="background1" w:themeShade="80"/>
      <w:szCs w:val="22"/>
      <w:lang w:eastAsia="ar-SA"/>
    </w:rPr>
  </w:style>
  <w:style w:type="character" w:customStyle="1" w:styleId="Mention1">
    <w:name w:val="Mention1"/>
    <w:basedOn w:val="DefaultParagraphFont"/>
    <w:uiPriority w:val="99"/>
    <w:semiHidden/>
    <w:unhideWhenUsed/>
    <w:rsid w:val="00ED7192"/>
    <w:rPr>
      <w:color w:val="2B579A"/>
      <w:shd w:val="clear" w:color="auto" w:fill="E6E6E6"/>
    </w:rPr>
  </w:style>
  <w:style w:type="paragraph" w:styleId="Title">
    <w:name w:val="Title"/>
    <w:basedOn w:val="Normal"/>
    <w:next w:val="Normal"/>
    <w:link w:val="TitleChar"/>
    <w:uiPriority w:val="10"/>
    <w:qFormat/>
    <w:rsid w:val="00C40D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D27"/>
    <w:rPr>
      <w:rFonts w:asciiTheme="majorHAnsi" w:eastAsiaTheme="majorEastAsia" w:hAnsiTheme="majorHAnsi" w:cstheme="majorBidi"/>
      <w:spacing w:val="-10"/>
      <w:kern w:val="28"/>
      <w:sz w:val="56"/>
      <w:szCs w:val="56"/>
      <w:lang w:eastAsia="ar-SA"/>
    </w:rPr>
  </w:style>
  <w:style w:type="character" w:customStyle="1" w:styleId="Heading1Char">
    <w:name w:val="Heading 1 Char"/>
    <w:basedOn w:val="DefaultParagraphFont"/>
    <w:link w:val="Heading1"/>
    <w:uiPriority w:val="9"/>
    <w:rsid w:val="00C9689C"/>
    <w:rPr>
      <w:rFonts w:asciiTheme="majorHAnsi" w:eastAsiaTheme="majorEastAsia" w:hAnsiTheme="majorHAnsi" w:cstheme="majorBidi"/>
      <w:color w:val="2F5496" w:themeColor="accent1" w:themeShade="BF"/>
      <w:sz w:val="32"/>
      <w:szCs w:val="32"/>
      <w:lang w:eastAsia="ar-SA"/>
    </w:rPr>
  </w:style>
  <w:style w:type="table" w:styleId="TableGrid">
    <w:name w:val="Table Grid"/>
    <w:basedOn w:val="TableNormal"/>
    <w:uiPriority w:val="39"/>
    <w:rsid w:val="0090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8D09A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ListParagraph">
    <w:name w:val="List Paragraph"/>
    <w:basedOn w:val="Normal"/>
    <w:uiPriority w:val="34"/>
    <w:qFormat/>
    <w:rsid w:val="008D09A9"/>
    <w:pPr>
      <w:ind w:left="720"/>
      <w:contextualSpacing/>
    </w:pPr>
  </w:style>
  <w:style w:type="paragraph" w:styleId="BalloonText">
    <w:name w:val="Balloon Text"/>
    <w:basedOn w:val="Normal"/>
    <w:link w:val="BalloonTextChar"/>
    <w:uiPriority w:val="99"/>
    <w:semiHidden/>
    <w:unhideWhenUsed/>
    <w:rsid w:val="007751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107"/>
    <w:rPr>
      <w:rFonts w:ascii="Segoe UI" w:hAnsi="Segoe UI" w:cs="Segoe UI"/>
      <w:sz w:val="18"/>
      <w:szCs w:val="18"/>
      <w:lang w:eastAsia="ar-SA"/>
    </w:rPr>
  </w:style>
  <w:style w:type="character" w:styleId="UnresolvedMention">
    <w:name w:val="Unresolved Mention"/>
    <w:basedOn w:val="DefaultParagraphFont"/>
    <w:uiPriority w:val="99"/>
    <w:semiHidden/>
    <w:unhideWhenUsed/>
    <w:rsid w:val="00C00A5B"/>
    <w:rPr>
      <w:color w:val="605E5C"/>
      <w:shd w:val="clear" w:color="auto" w:fill="E1DFDD"/>
    </w:rPr>
  </w:style>
  <w:style w:type="paragraph" w:customStyle="1" w:styleId="Body">
    <w:name w:val="Body"/>
    <w:rsid w:val="00C00A5B"/>
    <w:pPr>
      <w:pBdr>
        <w:top w:val="nil"/>
        <w:left w:val="nil"/>
        <w:bottom w:val="nil"/>
        <w:right w:val="nil"/>
        <w:between w:val="nil"/>
        <w:bar w:val="nil"/>
      </w:pBdr>
      <w:outlineLvl w:val="0"/>
    </w:pPr>
    <w:rPr>
      <w:rFonts w:ascii="Garamond" w:eastAsia="Garamond" w:hAnsi="Garamond" w:cs="Garamond"/>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rkennedy@greenwoodmento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D18771C135D4A859402EDF2F95365" ma:contentTypeVersion="5" ma:contentTypeDescription="Create a new document." ma:contentTypeScope="" ma:versionID="ce1ca9d80259160aba60af8ea0870791">
  <xsd:schema xmlns:xsd="http://www.w3.org/2001/XMLSchema" xmlns:xs="http://www.w3.org/2001/XMLSchema" xmlns:p="http://schemas.microsoft.com/office/2006/metadata/properties" xmlns:ns2="c43254e0-ac1c-40a3-89ed-b0d6724442c2" targetNamespace="http://schemas.microsoft.com/office/2006/metadata/properties" ma:root="true" ma:fieldsID="40235dc6e8c8b56bef527e86850c82fc" ns2:_="">
    <xsd:import namespace="c43254e0-ac1c-40a3-89ed-b0d6724442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54e0-ac1c-40a3-89ed-b0d6724442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188DB-31E8-4BB5-9EB8-4345123293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73D677-CC1E-477E-8949-570CE1969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54e0-ac1c-40a3-89ed-b0d672444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E6917-5EFC-4733-9712-772BEDBE6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Links>
    <vt:vector size="6" baseType="variant">
      <vt:variant>
        <vt:i4>1179690</vt:i4>
      </vt:variant>
      <vt:variant>
        <vt:i4>0</vt:i4>
      </vt:variant>
      <vt:variant>
        <vt:i4>0</vt:i4>
      </vt:variant>
      <vt:variant>
        <vt:i4>5</vt:i4>
      </vt:variant>
      <vt:variant>
        <vt:lpwstr>mailto:info@sarahpagdin.com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Pagdin</dc:creator>
  <cp:keywords/>
  <cp:lastModifiedBy>FIONA KENNEDY</cp:lastModifiedBy>
  <cp:revision>5</cp:revision>
  <cp:lastPrinted>2018-04-21T09:13:00Z</cp:lastPrinted>
  <dcterms:created xsi:type="dcterms:W3CDTF">2023-10-19T06:30:00Z</dcterms:created>
  <dcterms:modified xsi:type="dcterms:W3CDTF">2023-10-19T07:24:00Z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0x010100561D18771C135D4A859402EDF2F95365</vt:lpwstr>
  </property>
</Properties>
</file>